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67649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2540" cy="9036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54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7629C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Статья: Доступность образовательных услуг для инвалидов</w:t>
            </w:r>
            <w:r>
              <w:rPr>
                <w:sz w:val="48"/>
                <w:szCs w:val="48"/>
              </w:rPr>
              <w:br/>
              <w:t>(Артемова И.В.)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("Советник в сфере образования", 2019, N 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7629C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02.03.2020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62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629CD">
      <w:pPr>
        <w:pStyle w:val="ConsPlusNormal"/>
        <w:ind w:firstLine="540"/>
        <w:jc w:val="both"/>
        <w:outlineLvl w:val="0"/>
      </w:pPr>
    </w:p>
    <w:p w:rsidR="00000000" w:rsidRDefault="007629CD">
      <w:pPr>
        <w:pStyle w:val="ConsPlusNormal"/>
        <w:jc w:val="right"/>
      </w:pPr>
      <w:r>
        <w:t>"Советник в сфере образования", 2019, N 9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Title"/>
        <w:jc w:val="center"/>
      </w:pPr>
      <w:r>
        <w:t>ДОСТУПНОСТЬ ОБРАЗОВАТЕЛЬНЫХ УСЛУГ ДЛЯ ИНВАЛИДОВ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 xml:space="preserve">В 2019 году принята новая редакция Государственной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"Доступная среда", в которой есть треб</w:t>
      </w:r>
      <w:r>
        <w:t xml:space="preserve">ования и к образовательным учреждениям. Основной акцент в </w:t>
      </w:r>
      <w:hyperlink r:id="rId10" w:history="1">
        <w:r>
          <w:rPr>
            <w:color w:val="0000FF"/>
          </w:rPr>
          <w:t>Программе</w:t>
        </w:r>
      </w:hyperlink>
      <w:r>
        <w:t xml:space="preserve"> делается на обеспечение доступа инвалидов к приоритетным объектам и услугам, в т</w:t>
      </w:r>
      <w:r>
        <w:t xml:space="preserve">ом числе образовательным. Одной из целей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является увеличение доли обучающихся инвалидов.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0"/>
      </w:pPr>
      <w:r>
        <w:t>Доступная среда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>В 2008 году Российская Федераци</w:t>
      </w:r>
      <w:r>
        <w:t>я подписала и в 2012 году ратифицировала Конвенцию о правах инвалидов от 13.12.2006 (далее - Конвенция).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Согласно Конвенции государства-участники должны принимать надлежащие меры по обеспечению инвалидам наравне с другими гражданами доступа к объектам и ус</w:t>
      </w:r>
      <w:r>
        <w:t>лугам, открытым или предоставляемым населению. Эти меры должны распространяться в том числе на образовательные учреждения.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Одним из важнейших направлений Конвенции является достижение максимально возможной независимости инвалидов, для чего необходимо форми</w:t>
      </w:r>
      <w:r>
        <w:t>рование комплексных реабилитационных и абилитационных услуг. Комплексная реабилитация и абилитация инвалидов должны решать вопросы образования и трудоустройства.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В 2019 году Постановлением Правительства РФ от 29.03.2019 N 363 утверждена новая Государственн</w:t>
      </w:r>
      <w:r>
        <w:t xml:space="preserve">ая </w:t>
      </w:r>
      <w:hyperlink r:id="rId12" w:history="1">
        <w:r>
          <w:rPr>
            <w:color w:val="0000FF"/>
          </w:rPr>
          <w:t>программа</w:t>
        </w:r>
      </w:hyperlink>
      <w:r>
        <w:t xml:space="preserve"> "Доступная среда" (далее - Программа).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В Программу, в частности, входит </w:t>
      </w:r>
      <w:hyperlink r:id="rId13" w:history="1">
        <w:r>
          <w:rPr>
            <w:color w:val="0000FF"/>
          </w:rPr>
          <w:t>подпрограмма 2</w:t>
        </w:r>
      </w:hyperlink>
      <w:r>
        <w:t xml:space="preserve"> "Совершенствование системы комплексной реабилитации и абилитации инвалидов". К ожидаемым результатам реализации </w:t>
      </w:r>
      <w:hyperlink r:id="rId14" w:history="1">
        <w:r>
          <w:rPr>
            <w:color w:val="0000FF"/>
          </w:rPr>
          <w:t>подпрограммы 2</w:t>
        </w:r>
      </w:hyperlink>
      <w:r>
        <w:t xml:space="preserve"> относится увеличение доли занятых инвалидов трудоспособного возраста в общей численности инвалидов трудоспособного возраста в РФ (до 51,7% к 2025 году).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А</w:t>
      </w:r>
      <w:r>
        <w:t xml:space="preserve"> целевыми индикаторами и показателями </w:t>
      </w:r>
      <w:hyperlink r:id="rId15" w:history="1">
        <w:r>
          <w:rPr>
            <w:color w:val="0000FF"/>
          </w:rPr>
          <w:t>подпрограммы</w:t>
        </w:r>
      </w:hyperlink>
      <w:r>
        <w:t xml:space="preserve"> в том числе являются: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доля инвалидов, принятых на обучение по программам бакалавриата и програм</w:t>
      </w:r>
      <w:r>
        <w:t>мам специалитета (по отношению к значению показателя предыдущего года);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доля инвалидов, принятых на обучение по образовательным программам среднего профессионального образования (по отношению к значению показателя предыдущего года).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Целью является: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уве</w:t>
      </w:r>
      <w:r>
        <w:t>личение доли инвалидов, принятых на обучение по программам бакалавриата и программам специалитета (по отношению к значению показателя предыдущего года) (до 110,5% к 2025 году);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сохранение доли студентов из числа инвалидов, обучавшихся по программам бакал</w:t>
      </w:r>
      <w:r>
        <w:t xml:space="preserve">авриата </w:t>
      </w:r>
      <w:r>
        <w:lastRenderedPageBreak/>
        <w:t>и программам специалитета, отчисленных по причине академической задолженности, в общей численности инвалидов, принятых на обучение по программам бакалавриата и программам специалитета (на уровне не более 7% ежегодно);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увеличение доли инвалидов, п</w:t>
      </w:r>
      <w:r>
        <w:t>ринятых на обучение по образовательным программам среднего профессионального образования (по отношению к значению показателя предыдущего года) (до 117% к 2025 году);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- сохранение доли студентов из числа инвалидов, обучавшихся по образовательным программам </w:t>
      </w:r>
      <w:r>
        <w:t>среднего профессионального образования, выбывших по причине академической неуспеваемости (на уровне не более 7% ежегодно).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Таким образом, для выполнения целевых показателей образовательным учреждениям, и в первую очередь учреждениям высшего и среднего проф</w:t>
      </w:r>
      <w:r>
        <w:t>ессионального образования, важно обеспечить доступность их зданий и услуг для инвалидов.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Отметим также, что 2019-й - не первый год реализации мероприятий по обеспечению доступа инвалидов к важнейшим социальным объектам. Предыдущая </w:t>
      </w:r>
      <w:hyperlink r:id="rId16" w:history="1">
        <w:r>
          <w:rPr>
            <w:color w:val="0000FF"/>
          </w:rPr>
          <w:t>Госпрограмма</w:t>
        </w:r>
      </w:hyperlink>
      <w:r>
        <w:t xml:space="preserve"> "Доступная среда" была утверждена Постановлением Правительства РФ от 01.12.2015 N 1297.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В рамках этой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субъектам РФ с 2016 года предоставлялась консолидированная субсидия из федерального бюджета на софинансирование расходов на реализацию мероприятий в сфере обеспечения доступности приоритетных объе</w:t>
      </w:r>
      <w:r>
        <w:t xml:space="preserve">ктов и услуг в приоритетных сферах жизнедеятельности инвалидов и других маломобильных групп населения, в том числе расходов на мероприятия по созданию в дошкольных образовательных, общеобразовательных организациях, организациях дополнительного образования </w:t>
      </w:r>
      <w:r>
        <w:t>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образования, включая создание универсальной безбарьерной среды д</w:t>
      </w:r>
      <w:r>
        <w:t>ля беспрепятственного доступа и оснащение указанных организаций специальным оборудованием, в том числе учебным, реабилитационным, компьютерным оборудованием, и автотранспортом.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Приказом Минобрнауки России от 09.11.2015 N 1309 утвержден </w:t>
      </w:r>
      <w:hyperlink r:id="rId18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 (далее - Пор</w:t>
      </w:r>
      <w:r>
        <w:t xml:space="preserve">ядок N 1309). </w:t>
      </w:r>
      <w:hyperlink r:id="rId19" w:history="1">
        <w:r>
          <w:rPr>
            <w:color w:val="0000FF"/>
          </w:rPr>
          <w:t>Порядок</w:t>
        </w:r>
      </w:hyperlink>
      <w:r>
        <w:t xml:space="preserve"> N 1309 действует с 1 января 2016 года и распространяется на образовательные учреждения, подведомственные Минобрнауки России.</w:t>
      </w:r>
    </w:p>
    <w:p w:rsidR="00000000" w:rsidRDefault="007629CD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Порядок</w:t>
        </w:r>
      </w:hyperlink>
      <w:r>
        <w:t xml:space="preserve"> N 1309 распространяется не только на новые и реконструируемые, но и на действующие здания образовательных учреждений.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п. 3</w:t>
        </w:r>
      </w:hyperlink>
      <w:r>
        <w:t xml:space="preserve"> Порядка N 1309 руководители образовательных учреждений обязаны обеспечить создание инвалидам </w:t>
      </w:r>
      <w:r>
        <w:rPr>
          <w:b/>
          <w:bCs/>
        </w:rPr>
        <w:t>следующих условий доступности объектов</w:t>
      </w:r>
      <w:r>
        <w:t>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а)</w:t>
      </w:r>
      <w:r>
        <w:t xml:space="preserve"> возможность беспрепят</w:t>
      </w:r>
      <w:r>
        <w:t>ственного входа в объекты и выхода из них;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б)</w:t>
      </w:r>
      <w:r>
        <w:t xml:space="preserve">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</w:t>
      </w:r>
      <w:r>
        <w:lastRenderedPageBreak/>
        <w:t>услуги, ассистивных и вспомогательных тех</w:t>
      </w:r>
      <w:r>
        <w:t>нологий, а также сменного кресла-коляски;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в)</w:t>
      </w:r>
      <w:r>
        <w:t xml:space="preserve"> 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г)</w:t>
      </w:r>
      <w:r>
        <w:t xml:space="preserve"> сопровождение инвалидов, имею</w:t>
      </w:r>
      <w:r>
        <w:t>щих стойкие нарушения функции зрения, и возможность самостоятельного передвижения по территории объекта;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д)</w:t>
      </w:r>
      <w:r>
        <w:t xml:space="preserve">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е)</w:t>
      </w:r>
      <w:r>
        <w:t xml:space="preserve"> надлежащее разме</w:t>
      </w:r>
      <w:r>
        <w:t>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</w:t>
      </w:r>
      <w:r>
        <w:t>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ж)</w:t>
      </w:r>
      <w:r>
        <w:t xml:space="preserve"> обеспечение допуска на объект, в котором предоставляются услуги, собаки-проводника при наличии документа, подтверж</w:t>
      </w:r>
      <w:r>
        <w:t xml:space="preserve">дающего ее специальное обучение, выданного по </w:t>
      </w:r>
      <w:hyperlink r:id="rId22" w:history="1">
        <w:r>
          <w:rPr>
            <w:color w:val="0000FF"/>
          </w:rPr>
          <w:t>форме</w:t>
        </w:r>
      </w:hyperlink>
      <w:r>
        <w:t xml:space="preserve"> и в </w:t>
      </w:r>
      <w:hyperlink r:id="rId23" w:history="1">
        <w:r>
          <w:rPr>
            <w:color w:val="0000FF"/>
          </w:rPr>
          <w:t>Порядке</w:t>
        </w:r>
      </w:hyperlink>
      <w:r>
        <w:t>, которые утверждены Приказом Министерства труда и социальной защиты РФ от 22.06.2015 N 386н.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4" w:history="1">
        <w:r>
          <w:rPr>
            <w:color w:val="0000FF"/>
          </w:rPr>
          <w:t>Порядку</w:t>
        </w:r>
      </w:hyperlink>
      <w:r>
        <w:t xml:space="preserve"> N 1309 образов</w:t>
      </w:r>
      <w:r>
        <w:t>ательные учреждения должны были в 2016 году разработать, утвердить план действий организации по повышению значений показателей доступности для инвалидов объектов и предоставляемых на них услуг (далее - "дорожная карта") на период до 2030 года.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Целью "дорож</w:t>
      </w:r>
      <w:r>
        <w:t xml:space="preserve">ной карты" является поэтапное повышение уровня доступности для инвалидов объектов и предоставляемых в них услуг в сфере образования с учетом финансовых возможностей. В целях определения мер по поэтапному повышению уровня доступности для инвалидов объектов </w:t>
      </w:r>
      <w:r>
        <w:t>и предоставляемых услуг образовательные учреждения должны провести обследование, по результатам которого составляется паспорт доступности для инвалидов объекта и услуг (</w:t>
      </w:r>
      <w:hyperlink r:id="rId25" w:history="1">
        <w:r>
          <w:rPr>
            <w:color w:val="0000FF"/>
          </w:rPr>
          <w:t>п. 7</w:t>
        </w:r>
      </w:hyperlink>
      <w:r>
        <w:t xml:space="preserve"> Порядка N 1309).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Таким образом, учреждения в 2019 году продолжают реализацию ранее утвержденных "дорожных карт", обеспечивая доступность своих услуг для инвалидов, а учреждения высшего и среднего профессионального образования долж</w:t>
      </w:r>
      <w:r>
        <w:t>ны стремиться к увеличению доли студентов-инвалидов.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0"/>
      </w:pPr>
      <w:r>
        <w:t>Мероприятия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 xml:space="preserve">Требования доступности зданий и других объектов для инвалидов установлены </w:t>
      </w:r>
      <w:hyperlink r:id="rId26" w:history="1">
        <w:r>
          <w:rPr>
            <w:color w:val="0000FF"/>
          </w:rPr>
          <w:t>ст. 15</w:t>
        </w:r>
      </w:hyperlink>
      <w:r>
        <w:t xml:space="preserve"> Федерального закона от 24.11.1995 N 181-ФЗ "О социальной защите инвалидов в Российской Федерации", а также </w:t>
      </w:r>
      <w:hyperlink r:id="rId27" w:history="1">
        <w:r>
          <w:rPr>
            <w:color w:val="0000FF"/>
          </w:rPr>
          <w:t>п. 41</w:t>
        </w:r>
      </w:hyperlink>
      <w:r>
        <w:t xml:space="preserve"> Перечня национальных стандартов и </w:t>
      </w:r>
      <w:r>
        <w:t>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30.12.2009 N 384-ФЗ "Технический регламент о безопасности зданий и сооружений" (утв.</w:t>
      </w:r>
      <w:r>
        <w:t xml:space="preserve"> Постановлением Правительства РФ от 26.12.2014 N 1521; далее - Перечень).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lastRenderedPageBreak/>
        <w:t xml:space="preserve">В </w:t>
      </w:r>
      <w:hyperlink r:id="rId28" w:history="1">
        <w:r>
          <w:rPr>
            <w:color w:val="0000FF"/>
          </w:rPr>
          <w:t>п. 41</w:t>
        </w:r>
      </w:hyperlink>
      <w:r>
        <w:t xml:space="preserve"> Перечня указаны соответствующие разделы и пункты Свода правил 59.1</w:t>
      </w:r>
      <w:r>
        <w:t>3330.2012 "Доступность зданий и сооружений для маломобильных групп населения. Актуализированная редакция СНиП 35-01-2001" (утв. Приказом Минрегиона России от 27.12.2011 N 605). Указанные Правила устанавливает требования к территориям, парковкам, подъездным</w:t>
      </w:r>
      <w:r>
        <w:t xml:space="preserve"> путям, зданиям, санитарным помещениям, путям эвакуации и др.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В рамках повышения доступности зданий и услуг для инвалидов учреждения </w:t>
      </w:r>
      <w:r>
        <w:rPr>
          <w:b/>
          <w:bCs/>
        </w:rPr>
        <w:t>могут осуществлять следующие мероприятия</w:t>
      </w:r>
      <w:r>
        <w:t>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устанавливать на территории пандусы, тактильную плитку;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устанавливать информа</w:t>
      </w:r>
      <w:r>
        <w:t>ционные символы - указатели, световые табло, таблички, выполненные шрифтом Брайля, и т.д.;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дооборудовать или реконструировать здание (установить пандусы, поручни, лифты, подъемные устройства, расширить дверные проемы, заменить двери и калитки, установить</w:t>
      </w:r>
      <w:r>
        <w:t xml:space="preserve"> колесоотбойники, установить систему связи с дежурным, оборудовать санузел для инвалидов);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приобрести отдельные основные средства (сменная кресло-коляска, звукоусиливающее оборудование, звуковые информаторы и текстофоны, учебное, реабилитационное оборудо</w:t>
      </w:r>
      <w:r>
        <w:t>вание, специальный автотранспорт и др.).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0"/>
      </w:pPr>
      <w:r>
        <w:t>Бухгалтерский учет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1"/>
      </w:pPr>
      <w:r>
        <w:t>Информационные символы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>Указатели, световые табло, таблички и тому подобные активы, как правило, относятся к материальным запасам. Отдельные виды активов могут быть отнесены как к материальным з</w:t>
      </w:r>
      <w:r>
        <w:t>апасам, так и к основным средствам в зависимости от предполагаемого срока службы. Это относится, например, к табличкам Брайля, дублирующим надписи и знаки. Окончательное решение по данному вопросу принимается комиссией учреждения по поступлению и выбытию н</w:t>
      </w:r>
      <w:r>
        <w:t>ефинансовых активов.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Списание материальных запасов на мероприятия по обеспечению доступности зданий для инвалидов может квалифицироваться по-разному в зависимости от комплекса мер, особенности программы приспособления здания и др.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Например, если учреждение</w:t>
      </w:r>
      <w:r>
        <w:t>м планируется масштабная реконструкция здания для приспособления его к потребностям инвалидов, то отдельные материальные запасы (световые маячки, символы доступности, таблички) могут быть включены в общую смету реконструкции учреждения и войдут в его стоим</w:t>
      </w:r>
      <w:r>
        <w:t>ость. Если они приобретаются отдельно (например, если недостает части табличек или символов), их необходимо учесть в составе текущих затрат.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При этом материальные запасы в данном случае могут учитываться по следующим КОСГУ в зависимости от их функционально</w:t>
      </w:r>
      <w:r>
        <w:t>го назначения: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- </w:t>
      </w:r>
      <w:hyperlink r:id="rId29" w:history="1">
        <w:r>
          <w:rPr>
            <w:color w:val="0000FF"/>
          </w:rPr>
          <w:t>347</w:t>
        </w:r>
      </w:hyperlink>
      <w:r>
        <w:t xml:space="preserve"> "Увеличение стоимости материальных запасов для целей капитальных вложений" (если их установка производится в рамках реконструкц</w:t>
      </w:r>
      <w:r>
        <w:t>ии здания);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lastRenderedPageBreak/>
        <w:t xml:space="preserve">- </w:t>
      </w:r>
      <w:hyperlink r:id="rId30" w:history="1">
        <w:r>
          <w:rPr>
            <w:color w:val="0000FF"/>
          </w:rPr>
          <w:t>346</w:t>
        </w:r>
      </w:hyperlink>
      <w:r>
        <w:t xml:space="preserve"> "Увеличение стоимости прочих материальных запасов" (в иных случаях).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При приобретении тактильны</w:t>
      </w:r>
      <w:r>
        <w:t>х полос, световых маячков, табло, наклеек и других материальных запасов делается следующая запись: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10536 346 "Увеличение стоимости прочих материальных запасов - иного движимого имущества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30234 73x "Увеличение кредит</w:t>
      </w:r>
      <w:r>
        <w:t>орской задолженности по приобретению материальных запасов"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приняты к учету материальные запасы, необходимые для обеспечения доступности здания для инвалидов.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По факту установки данные материальные запасы списываются на текущие затраты такой записью: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</w:t>
      </w:r>
      <w:r>
        <w:t>т счета 0 10900 000 (0 10960 272, 0 10980 272) "Себестоимость готовой продукции, работ, услуг"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Дебет счета 0 40120 272 "Расходование материальных запасов"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10536 446 "Уменьшение стоимости прочих материальных запасов - иного движимого имущества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отражено использование материальных запасов по назначению.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Если же материальные запасы используются в процессе реконструкции здания (тактил</w:t>
      </w:r>
      <w:r>
        <w:t xml:space="preserve">ьная плитка, таблички, пандусы, поручни, подъемные устройства, колесоотбойники, элементы системы связи), их приобретение отражается аналогично (по КОСГУ </w:t>
      </w:r>
      <w:hyperlink r:id="rId31" w:history="1">
        <w:r>
          <w:rPr>
            <w:color w:val="0000FF"/>
          </w:rPr>
          <w:t>347</w:t>
        </w:r>
      </w:hyperlink>
      <w:r>
        <w:t>), а расходование отражается в составе вложений в здание: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10611 310 "Увеличение вложений в основные средства - недвижимое имущество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10536 447 "Уменьшение стоимости прочих материальных запасов - иного движимо</w:t>
      </w:r>
      <w:r>
        <w:t>го имущества учреждения".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1"/>
      </w:pPr>
      <w:r>
        <w:t>Пандусы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>Пандус может быть стационарным или передвижным. Стационарные пандусы - неотъемлемый элемент зданий, сооружений, непосредственно связанный с иными конструктивными элементами (перилами, стенами, тамбурами).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Таким образом, </w:t>
      </w:r>
      <w:r>
        <w:t>объектом основных средств является здание, а пандус - его частью, однако установка пандусов может быть квалифицирована в качестве модернизации (реконструкции, дооборудования) объекта недвижимого имущества (здания). Это связано с тем, что установка пандусов</w:t>
      </w:r>
      <w:r>
        <w:t xml:space="preserve"> в здании, в котором их ранее не было, расширяет функции здания, делает его доступным для маломобильных групп населения.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lastRenderedPageBreak/>
        <w:t xml:space="preserve">Подобные расходы учреждения должны отражаться по </w:t>
      </w:r>
      <w:hyperlink r:id="rId32" w:history="1">
        <w:r>
          <w:rPr>
            <w:color w:val="0000FF"/>
          </w:rPr>
          <w:t>статье 310</w:t>
        </w:r>
      </w:hyperlink>
      <w:r>
        <w:t xml:space="preserve"> "Увеличение стоимости основных средств" КОСГУ. В состав таких расходов может входить приобретение пандусов как готовых строительных конструкций, приобретение строительных материалов общего назначения (кирпич, бетон, цемент, ме</w:t>
      </w:r>
      <w:r>
        <w:t>талл и др.), услуги по проектированию и монтажу пандуса и др.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В бухгалтерском учете это отражается следующим образом: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10611 310 "Увеличение вложений в основные средства - недвижимое имущество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30228 730 "Увеличение к</w:t>
      </w:r>
      <w:r>
        <w:t>редиторской задолженности по работам, услугам для целей капитальных вложений"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отражены работы по монтажу пандусов на основании акта выполненных работ от подрядчика.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Приобретение строительных материалов для строительства пандуса, если оно производится в р</w:t>
      </w:r>
      <w:r>
        <w:t>амках одного договора, отражается так: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10534 347 "Увеличение стоимости строительных материалов - иного движимого имущества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30234 73x "Увеличение кредиторской задолженности по приобретению материальных запасов";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</w:t>
      </w:r>
      <w:r>
        <w:t>т счета 0 10611 310 "Увеличение вложений в основные средства - недвижимое имущество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10534 447 "Уменьшение стоимости строительных материалов - иного движимого имущества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отражено расходование материалов на монтаж;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</w:t>
      </w:r>
      <w:r>
        <w:t>ет счета 0 10110 310 "Увеличение стоимости основных средств - недвижимого имущества учреждения"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10611 310 "Увеличение вложений в основные средства - недвижимое имущество учреждения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принят к бухгалтерскому учету результат работ по дооборудо</w:t>
      </w:r>
      <w:r>
        <w:t>ванию здания.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Пандус может быть отнесен к основным средствам, если его можно использовать отдельно от здания. Это относится к пандусам переносным, перекатным, в том числе телескопическим секционным пандусам, складным пандусам, самостоятельно функционирующи</w:t>
      </w:r>
      <w:r>
        <w:t xml:space="preserve">м пандусам-платформам, пандусам-рампам. Специального кода </w:t>
      </w:r>
      <w:hyperlink r:id="rId33" w:history="1">
        <w:r>
          <w:rPr>
            <w:color w:val="0000FF"/>
          </w:rPr>
          <w:t>ОКОФ</w:t>
        </w:r>
      </w:hyperlink>
      <w:r>
        <w:t xml:space="preserve"> для передвижных пандусов не предусмотрено, поэтому срок полезного использования пандуса определяется исх</w:t>
      </w:r>
      <w:r>
        <w:t>одя из рекомендаций, содержащихся в документах производителя, входящих в комплектацию пандуса, и (или) на основании решения комиссии субъекта учета по поступлению и выбытию активов (</w:t>
      </w:r>
      <w:hyperlink r:id="rId34" w:history="1">
        <w:r>
          <w:rPr>
            <w:color w:val="0000FF"/>
          </w:rPr>
          <w:t>пп. "б" п. 35</w:t>
        </w:r>
      </w:hyperlink>
      <w:r>
        <w:t xml:space="preserve"> СГС "Основные средства", утв. Приказом Минфина России от 31.12.2016 N 257н).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lastRenderedPageBreak/>
        <w:t>В бухгалтерском учете при поступлении пандуса делаются следующие записи: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10621 310 "Увеличение вложений в основные средства - особо ценное движимое имущество"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Дебет счета 0 10631 310 "Увеличение вложений в основные средства - иное движимое имущество"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30231 73x "Увеличение кредиторской задолженно</w:t>
      </w:r>
      <w:r>
        <w:t>сти по приобретению основных средств"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принят к учету пандус согласно договору с поставщиком;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30231 83x "Уменьшение кредиторской задолженности по приобретению основных средств"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Кредит счета 0 20111 610 "Выбытия денежных средств учреждения с </w:t>
      </w:r>
      <w:r>
        <w:t xml:space="preserve">лицевых счетов в органе казначейства" </w:t>
      </w:r>
      <w:r>
        <w:rPr>
          <w:b/>
          <w:bCs/>
        </w:rPr>
        <w:t>(для бюджетных и автономных учреждений)</w:t>
      </w:r>
      <w:r>
        <w:t>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Кредит счета 0 20121 610 "Выбытия денежных средств учреждения на счетах в кредитной организации" </w:t>
      </w:r>
      <w:r>
        <w:rPr>
          <w:b/>
          <w:bCs/>
        </w:rPr>
        <w:t>(для автономных учреждений, имеющих счет в кредитной организации)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Кредит сче</w:t>
      </w:r>
      <w:r>
        <w:t xml:space="preserve">та 1 30405 310 "Расчеты по платежам из бюджета с финансовым органом по приобретению основных средств" </w:t>
      </w:r>
      <w:r>
        <w:rPr>
          <w:b/>
          <w:bCs/>
        </w:rPr>
        <w:t>(для казенных учреждений)</w:t>
      </w:r>
      <w:r>
        <w:t>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Одновременно: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rPr>
          <w:b/>
          <w:bCs/>
        </w:rPr>
        <w:t>увеличение забалансового счета 18</w:t>
      </w:r>
      <w:r>
        <w:t xml:space="preserve"> "Выбытия денежных средств" </w:t>
      </w:r>
      <w:r>
        <w:rPr>
          <w:b/>
          <w:bCs/>
        </w:rPr>
        <w:t>(для бюджетных и автономных учреждений)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перечислен</w:t>
      </w:r>
      <w:r>
        <w:t>ы денежные средства поставщику пандуса.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Затраты на доставку пандуса учитываются так: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10621 310 "Увеличение вложений в основные средства - особо ценное движимое имущество"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или Дебет счета 0 10631 310 "Увеличение вложений в основные средства - </w:t>
      </w:r>
      <w:r>
        <w:t>иное движимое имущество"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30222 73x "Увеличение кредиторской задолженности по транспортным услугам".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Ввод в эксплуатацию переносного пандуса отражается в учете так: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0 101x6 310 "Увеличение стоимости производственного и хозяйственн</w:t>
      </w:r>
      <w:r>
        <w:t>ого инвентаря"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Кредит счета 0 10621 310 "Увеличение вложений в основные средства - особо ценное </w:t>
      </w:r>
      <w:r>
        <w:lastRenderedPageBreak/>
        <w:t>движимое имущество"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Кредит счета 0 10631 310 "Увеличение вложений в основные средства - иное движимое имущество".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Отметим, что аналогично передвижному (пере</w:t>
      </w:r>
      <w:r>
        <w:t>носному) пандусу в составе производственного и хозяйственного инвентаря учитывается игровое и реабилитационное оборудование - развивающие игры и игрушки для детей-инвалидов.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1"/>
      </w:pPr>
      <w:r>
        <w:t>Кресла-коляски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>До 2018 года любая инвалидная техника и средства передвижения для</w:t>
      </w:r>
      <w:r>
        <w:t xml:space="preserve"> инвалидов относились к материальным запасам независимо от целей приобретения. С 2018 года порядок учета изменился в связи с вступлением в силу </w:t>
      </w:r>
      <w:hyperlink r:id="rId35" w:history="1">
        <w:r>
          <w:rPr>
            <w:color w:val="0000FF"/>
          </w:rPr>
          <w:t>СГС</w:t>
        </w:r>
      </w:hyperlink>
      <w:r>
        <w:t xml:space="preserve"> </w:t>
      </w:r>
      <w:r>
        <w:t>"Основные средства".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Письме</w:t>
        </w:r>
      </w:hyperlink>
      <w:r>
        <w:t xml:space="preserve"> Минфина России от 18.10.2018 N 02-07-10/74884 специалисты ведомства разъяснили, как следует учитывать кресла-коляски с 2018 года.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Согласн</w:t>
      </w:r>
      <w:r>
        <w:t xml:space="preserve">о </w:t>
      </w:r>
      <w:hyperlink r:id="rId37" w:history="1">
        <w:r>
          <w:rPr>
            <w:color w:val="0000FF"/>
          </w:rPr>
          <w:t>п. 7</w:t>
        </w:r>
      </w:hyperlink>
      <w:r>
        <w:t xml:space="preserve"> СГС "Основные средства" материальные ценности, являющиеся активами независимо от их стоимости со сроком полезного использования более 12 меся</w:t>
      </w:r>
      <w:r>
        <w:t>цев, предназначенные для неоднократного или постоянного использования субъектом учета в целях выполнения им государственных (муниципальных) полномочий (функций), осуществления деятельности по выполнению работ, оказанию услуг либо для управленческих нужд су</w:t>
      </w:r>
      <w:r>
        <w:t>бъекта учета, являются основными средствами.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Таким образом, инвалидную технику и средства передвижения для инвалидов необходимо учитывать в зависимости от цели их использования. Если кресла-коляски предназначены для выдачи инвалидам, то они относятся к материальным запасам. Если используются в деятел</w:t>
      </w:r>
      <w:r>
        <w:t>ьности учреждения - к основным средствам. Таким образом, в образовательных учреждениях все кресла-коляски в 2019 году должны быть учтены как основные средства.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Так как до 2018 года применялся иной порядок учета (все кресла-коляски учитывались в составе мат</w:t>
      </w:r>
      <w:r>
        <w:t xml:space="preserve">ериальных запасов), в 2018 году необходимо было перевести их в состав объектов основных средств при первом применении </w:t>
      </w:r>
      <w:hyperlink r:id="rId38" w:history="1">
        <w:r>
          <w:rPr>
            <w:color w:val="0000FF"/>
          </w:rPr>
          <w:t>СГС</w:t>
        </w:r>
      </w:hyperlink>
      <w:r>
        <w:t xml:space="preserve"> "Основные средства".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При э</w:t>
      </w:r>
      <w:r>
        <w:t>том объекты бухгалтерского учета - инвалидная техника и средства передвижения для инвалидов, используемые в деятельности учреждений, которые до 1 января 2018 года учитывались в составе материальных запасов на счете 0 10506 000 "Прочие материальные запасы",</w:t>
      </w:r>
      <w:r>
        <w:t xml:space="preserve"> принимаются к учету на счет 0 10108 000 "Прочие основные средства" с присвоением уникальных порядковых инвентарных номеров объектов основных средств и начислением при необходимости амортизации указанных объектов на счете 0 10408 000 "Амортизация прочих ос</w:t>
      </w:r>
      <w:r>
        <w:t>новных средств" с учетом периода их эксплуатации до 1 января 2018 года.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Если соответствующие записи по переводу кресел-колясок из материальных запасов в основные средства не были осуществлены в 2018 году, то в 2019 году "перенос" колясок в основные средств</w:t>
      </w:r>
      <w:r>
        <w:t xml:space="preserve">а будет являться исправлением ошибок прошлых лет в порядке, предусмотренном </w:t>
      </w:r>
      <w:hyperlink r:id="rId39" w:history="1">
        <w:r>
          <w:rPr>
            <w:color w:val="0000FF"/>
          </w:rPr>
          <w:t>СГС</w:t>
        </w:r>
      </w:hyperlink>
      <w:r>
        <w:t xml:space="preserve"> "Учетная политика, оценочные значения и ошибки", утвержденным Приказ</w:t>
      </w:r>
      <w:r>
        <w:t>ом Минфина России от 30.12.2017 N 274н.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lastRenderedPageBreak/>
        <w:t>Все вновь приобретенные кресла-коляски учитываются как прочие основные средства.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0" w:history="1">
        <w:r>
          <w:rPr>
            <w:color w:val="0000FF"/>
          </w:rPr>
          <w:t>п. 35</w:t>
        </w:r>
      </w:hyperlink>
      <w:r>
        <w:t xml:space="preserve"> СГС "Основны</w:t>
      </w:r>
      <w:r>
        <w:t>е средства" 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заключенных в активе, признаваемом объектом основных средств.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При этом по объектам основны</w:t>
      </w:r>
      <w:r>
        <w:t xml:space="preserve">х средств, включенным согласно Постановлению Правительства РФ от 01.01.2002 N 1 (далее - Классификация N 1) в амортизационные группы с </w:t>
      </w:r>
      <w:hyperlink r:id="rId41" w:history="1">
        <w:r>
          <w:rPr>
            <w:color w:val="0000FF"/>
          </w:rPr>
          <w:t>первой</w:t>
        </w:r>
      </w:hyperlink>
      <w:r>
        <w:t xml:space="preserve"> по </w:t>
      </w:r>
      <w:hyperlink r:id="rId42" w:history="1">
        <w:r>
          <w:rPr>
            <w:color w:val="0000FF"/>
          </w:rPr>
          <w:t>девятую</w:t>
        </w:r>
      </w:hyperlink>
      <w:r>
        <w:t>, срок полезного использования определяется по наибольшему сроку, установленному для указанных амортизационных групп.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Согласно Классификации N 1</w:t>
      </w:r>
      <w:r>
        <w:t xml:space="preserve"> коляски инвалидные (код ОКОФ </w:t>
      </w:r>
      <w:hyperlink r:id="rId43" w:history="1">
        <w:r>
          <w:rPr>
            <w:color w:val="0000FF"/>
          </w:rPr>
          <w:t>310.30.92</w:t>
        </w:r>
      </w:hyperlink>
      <w:r>
        <w:t xml:space="preserve">) входят в </w:t>
      </w:r>
      <w:hyperlink r:id="rId44" w:history="1">
        <w:r>
          <w:rPr>
            <w:color w:val="0000FF"/>
          </w:rPr>
          <w:t>третью амортизационную группу</w:t>
        </w:r>
      </w:hyperlink>
      <w:r>
        <w:t>. Срок их полезного использования в учреждении составляет пять лет.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Приобретение инвалидной коляски отражается в учете так: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0 106x1 310 "Увеличение вложений в основные средства"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30231 73x "Увел</w:t>
      </w:r>
      <w:r>
        <w:t>ичение кредиторской задолженности по приобретению основных средств"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учтено поступившее кресло-коляска согласно договору с поставщиком;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30231 83x "Уменьшение кредиторской задолженности по приобретению основных средств"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20111 6</w:t>
      </w:r>
      <w:r>
        <w:t xml:space="preserve">10 "Выбытия денежных средств с лицевого счета учреждения" </w:t>
      </w:r>
      <w:r>
        <w:rPr>
          <w:b/>
          <w:bCs/>
        </w:rPr>
        <w:t>(для бюджетных, автономных учреждений)</w:t>
      </w:r>
      <w:r>
        <w:t>,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Кредит счета 0 20121 610 "Выбытия денежных средств со счетов в кредитной организации" </w:t>
      </w:r>
      <w:r>
        <w:rPr>
          <w:b/>
          <w:bCs/>
        </w:rPr>
        <w:t>(для автономных учреждений)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Кредит счета 1 30405 310 "Расчеты по пла</w:t>
      </w:r>
      <w:r>
        <w:t xml:space="preserve">тежам из бюджета с финансовым органом по приобретению основных средств" </w:t>
      </w:r>
      <w:r>
        <w:rPr>
          <w:b/>
          <w:bCs/>
        </w:rPr>
        <w:t>(для казенных учреждений)</w:t>
      </w:r>
      <w:r>
        <w:t>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Одновременно: </w:t>
      </w:r>
      <w:r>
        <w:rPr>
          <w:b/>
          <w:bCs/>
        </w:rPr>
        <w:t>увеличение забалансового счета 18</w:t>
      </w:r>
      <w:r>
        <w:t xml:space="preserve"> "Выбытия денежных средств" </w:t>
      </w:r>
      <w:r>
        <w:rPr>
          <w:b/>
          <w:bCs/>
        </w:rPr>
        <w:t>(для бюджетных и автономных учреждений)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перечислены денежные средства поставщику</w:t>
      </w:r>
      <w:r>
        <w:t xml:space="preserve"> кресла-коляски.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В первоначальной стоимости кресла-коляски учитываются также затраты на доставку. Поэтому соответствующие затраты должны участвовать в формировании первоначальной стоимости объекта основных средств, что отражается следующими бухгалтерскими </w:t>
      </w:r>
      <w:r>
        <w:t>записями: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0 106x1 310 "Увеличение вложений в основные средства"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30222 73x "Увеличение кредиторской задолженности по транспортным услугам"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lastRenderedPageBreak/>
        <w:t>- учтена стоимость доставки в первоначальной стоимости кресла-коляски;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Дебет счета 0 101x8 </w:t>
      </w:r>
      <w:r>
        <w:t>310 "Увеличение стоимости прочих основных средств"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0 106x1 310 "Увеличение вложений в основные средства"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- принято к бухгалтерскому учету кресло-коляска по первоначальной стоимости.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Если стоимость кресла-коляски составила 10 000 руб. и менее, </w:t>
      </w:r>
      <w:r>
        <w:t>то оно списывается с балансового учета в учреждении в момент ввода в эксплуатацию и учитывается за балансом: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10960 271 "Прямые затраты на производство готовой продукции, работ, услуг в части амортизации основных средств и нематериальных актив</w:t>
      </w:r>
      <w:r>
        <w:t>ов",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Дебет счета 0 10980 271 "Общехозяйственные расходы на производство готовой продукции, работ, услуг в части амортизации основных средств и нематериальных активов",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Дебет счета 0 40120 271 "Расходы на амортизацию основных средств и нематериальных активов"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0 101x8 410 "Уменьшение стоимости прочих основных средств".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Одновременно: </w:t>
      </w:r>
      <w:r>
        <w:rPr>
          <w:b/>
          <w:bCs/>
        </w:rPr>
        <w:t>увеличение забалансового счета 21</w:t>
      </w:r>
      <w:r>
        <w:t xml:space="preserve"> "Основные средства в эксплуатации".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Если</w:t>
      </w:r>
      <w:r>
        <w:t xml:space="preserve"> стоимость кресла-коляски от 10 000 и до 100 000 руб. включительно, то начисление амортизации по ней производится единовременно в размере 100% при выдаче в эксплуатацию, что отражается в учете следующей записью: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Дебет счета 0 10960 271 "Прямые затраты на п</w:t>
      </w:r>
      <w:r>
        <w:t>роизводство готовой продукции, работ, услуг в части амортизации основных средств и нематериальных активов",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Дебет счета 0 10980 271 "Общехозяйственные расходы на производство готовой продукции, работ, услуг в части амортизации основных средств и немате</w:t>
      </w:r>
      <w:r>
        <w:t>риальных активов",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или Дебет счета 0 40120 271 "Расходы на амортизацию основных средств и нематериальных активов"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Кредит счета 0 104x8 411 "Уменьшение за счет амортизации стоимости прочих основных средств".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Если стоимость кресла-коляски составила свыше 100</w:t>
      </w:r>
      <w:r>
        <w:t xml:space="preserve"> 000 руб., то его амортизация, согласно </w:t>
      </w:r>
      <w:hyperlink r:id="rId45" w:history="1">
        <w:r>
          <w:rPr>
            <w:color w:val="0000FF"/>
          </w:rPr>
          <w:t>СГС</w:t>
        </w:r>
      </w:hyperlink>
      <w:r>
        <w:t xml:space="preserve"> "Основные средства", начисляется в течение срока полезного использования способом, установленным учетной</w:t>
      </w:r>
      <w:r>
        <w:t xml:space="preserve"> политикой учреждения.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center"/>
        <w:outlineLvl w:val="1"/>
      </w:pPr>
      <w:r>
        <w:t>Специальное оборудование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>Основные средства, приобретаемые с целью улучшения доступности зданий и услуг образовательных учреждений для инвалидов, но не относящиеся к реконструкции здания, должны быть учтены в качестве отдельных инве</w:t>
      </w:r>
      <w:r>
        <w:t xml:space="preserve">нтарных объектов (звукоусиливающее оборудование, </w:t>
      </w:r>
      <w:r>
        <w:lastRenderedPageBreak/>
        <w:t>звуковые информаторы и текстофоны).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 xml:space="preserve">Аппаратура звукоусиливающая имеет код ОКОФ </w:t>
      </w:r>
      <w:hyperlink r:id="rId46" w:history="1">
        <w:r>
          <w:rPr>
            <w:color w:val="0000FF"/>
          </w:rPr>
          <w:t>14 3221121</w:t>
        </w:r>
      </w:hyperlink>
      <w:r>
        <w:t>, аппаратур</w:t>
      </w:r>
      <w:r>
        <w:t xml:space="preserve">а звуковоспроизводящая - код </w:t>
      </w:r>
      <w:hyperlink r:id="rId47" w:history="1">
        <w:r>
          <w:rPr>
            <w:color w:val="0000FF"/>
          </w:rPr>
          <w:t>14 3221124</w:t>
        </w:r>
      </w:hyperlink>
      <w:r>
        <w:t xml:space="preserve">, однако в </w:t>
      </w:r>
      <w:hyperlink r:id="rId48" w:history="1">
        <w:r>
          <w:rPr>
            <w:color w:val="0000FF"/>
          </w:rPr>
          <w:t>Классификации</w:t>
        </w:r>
      </w:hyperlink>
      <w:r>
        <w:t xml:space="preserve"> N 1 такие коды </w:t>
      </w:r>
      <w:hyperlink r:id="rId49" w:history="1">
        <w:r>
          <w:rPr>
            <w:color w:val="0000FF"/>
          </w:rPr>
          <w:t>ОКОФ</w:t>
        </w:r>
      </w:hyperlink>
      <w:r>
        <w:t xml:space="preserve"> отсутствуют. Поэтому срок полезного использования пандуса определяется исходя из рекомендаций, содержащихся в документах произво</w:t>
      </w:r>
      <w:r>
        <w:t>дителя, входящих в комплектацию пандуса, и (или) на основании решения комиссии субъекта учета по поступлению и выбытию активов. Учет данных видов основных средств ведется на счете 0 101x4 000 "Машины и оборудование". Бухгалтерские записи аналогичны приведе</w:t>
      </w:r>
      <w:r>
        <w:t>нным выше.</w:t>
      </w:r>
    </w:p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ind w:firstLine="540"/>
        <w:jc w:val="both"/>
      </w:pPr>
      <w:r>
        <w:t>Пример 1. Муниципальное бюджетное образовательное учреждение за счет субсидии на иные цели, выделенной учредителем, в 2019 году осуществило капитальный ремонт здания. В рамках капремонта проведены мероприятия, предусмотренные ранее паспортом до</w:t>
      </w:r>
      <w:r>
        <w:t>ступности услуг учреждения для инвалидов, - установлены стационарный пандус, автоматический открыватель дверей. Кроме того, за счет субсидии на выполнение госзадания приобретено игровое оборудование - развивающий центр для слабовидящих и слабослышащих дете</w:t>
      </w:r>
      <w:r>
        <w:t>й.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Пандус стоимостью 7 000 руб. и открыватель дверей стоимостью 4 000 руб. приобретены у одного и того же поставщика - коммерческой организации (стоимость включает доставку). Монтаж осуществляется подрядчиком, производящим капитальный ремонт. Согласно учет</w:t>
      </w:r>
      <w:r>
        <w:t>ной политике учреждения материалы, выданные подрядчикам для проведения работ, учитываются на забалансовом счете 28.</w:t>
      </w:r>
    </w:p>
    <w:p w:rsidR="00000000" w:rsidRDefault="007629CD">
      <w:pPr>
        <w:pStyle w:val="ConsPlusNormal"/>
        <w:spacing w:before="240"/>
        <w:ind w:firstLine="540"/>
        <w:jc w:val="both"/>
      </w:pPr>
      <w:r>
        <w:t>Развивающий центр для слабовидящих и слабослышащих детей стоимостью 19 800 руб. приобретен в специализированном магазине, доставка стоимость</w:t>
      </w:r>
      <w:r>
        <w:t>ю 300 руб. оплачена отдельно. Решением комиссии по поступлению и выбытию активов центр отнесен к иному движимому имуществу учреждения. В учете учреждения были сделаны следующие записи:</w:t>
      </w:r>
    </w:p>
    <w:p w:rsidR="00000000" w:rsidRDefault="007629C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701"/>
        <w:gridCol w:w="1701"/>
        <w:gridCol w:w="1417"/>
        <w:gridCol w:w="3402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Дебет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Кредит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5 10534 344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5 30234 734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11 000</w:t>
            </w:r>
          </w:p>
          <w:p w:rsidR="00000000" w:rsidRDefault="007629CD">
            <w:pPr>
              <w:pStyle w:val="ConsPlusNormal"/>
              <w:jc w:val="right"/>
            </w:pPr>
            <w:r>
              <w:t>(7 000 + 4 000)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Поступили пандус и открыватель дверей в учреждение</w:t>
            </w:r>
          </w:p>
        </w:tc>
      </w:tr>
      <w:tr w:rsidR="0000000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5 30234 834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5 20111 610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11 000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Оплачены пандус и открыватель дверей</w:t>
            </w:r>
          </w:p>
        </w:tc>
      </w:tr>
      <w:tr w:rsidR="0000000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ind w:firstLine="540"/>
              <w:jc w:val="both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 xml:space="preserve">Увеличение забалансового счета 18 по КОСГУ </w:t>
            </w:r>
            <w:hyperlink r:id="rId50" w:history="1">
              <w:r>
                <w:rPr>
                  <w:color w:val="0000FF"/>
                </w:rPr>
                <w:t>344</w:t>
              </w:r>
            </w:hyperlink>
            <w:r>
              <w:t xml:space="preserve">, КВР </w:t>
            </w:r>
            <w:hyperlink r:id="rId51" w:history="1">
              <w:r>
                <w:rPr>
                  <w:color w:val="0000FF"/>
                </w:rPr>
                <w:t>243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</w:p>
        </w:tc>
      </w:tr>
      <w:tr w:rsidR="0000000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5 10534 344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5 10534 34</w:t>
            </w:r>
            <w: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11 000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Материалы выданы подрядчику для проведения капитального ремонта</w:t>
            </w:r>
          </w:p>
        </w:tc>
      </w:tr>
      <w:tr w:rsidR="0000000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ind w:firstLine="540"/>
              <w:jc w:val="both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Увеличение забалансового счета 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</w:p>
        </w:tc>
      </w:tr>
      <w:tr w:rsidR="0000000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5 40120 272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5 10534 444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11 000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На основании отчета подрядчика отражен монтаж пандуса и открывателя дверей</w:t>
            </w:r>
          </w:p>
        </w:tc>
      </w:tr>
      <w:tr w:rsidR="0000000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ind w:firstLine="540"/>
              <w:jc w:val="both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 xml:space="preserve">Уменьшение забалансового </w:t>
            </w:r>
            <w:r>
              <w:lastRenderedPageBreak/>
              <w:t>счета 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4 10631 310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4 30231 734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19 800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Поступил игровой центр для слабовидящих и слабослышащих детей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4 10631 310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4 30222 734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Учтена доставка согласно акту перевозчика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4 10136 310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4 10631 310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20 100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Развивающий центр введен в эксплуатацию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4 10960 271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center"/>
            </w:pPr>
            <w:r>
              <w:t>4 10436 411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  <w:jc w:val="right"/>
            </w:pPr>
            <w:r>
              <w:t>20 100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29CD">
            <w:pPr>
              <w:pStyle w:val="ConsPlusNormal"/>
            </w:pPr>
            <w:r>
              <w:t>Начислена амортизация в размере 100% при вводе в эксплуатацию</w:t>
            </w:r>
          </w:p>
        </w:tc>
      </w:tr>
    </w:tbl>
    <w:p w:rsidR="00000000" w:rsidRDefault="007629CD">
      <w:pPr>
        <w:pStyle w:val="ConsPlusNormal"/>
        <w:ind w:firstLine="540"/>
        <w:jc w:val="both"/>
      </w:pPr>
    </w:p>
    <w:p w:rsidR="00000000" w:rsidRDefault="007629CD">
      <w:pPr>
        <w:pStyle w:val="ConsPlusNormal"/>
        <w:jc w:val="right"/>
      </w:pPr>
      <w:r>
        <w:t>И.В. Артемова</w:t>
      </w:r>
    </w:p>
    <w:p w:rsidR="00000000" w:rsidRDefault="007629CD">
      <w:pPr>
        <w:pStyle w:val="ConsPlusNormal"/>
        <w:jc w:val="right"/>
      </w:pPr>
      <w:r>
        <w:t>Главный бухгалтер,</w:t>
      </w:r>
    </w:p>
    <w:p w:rsidR="00000000" w:rsidRDefault="007629CD">
      <w:pPr>
        <w:pStyle w:val="ConsPlusNormal"/>
        <w:jc w:val="right"/>
      </w:pPr>
      <w:r>
        <w:t>консультант</w:t>
      </w:r>
    </w:p>
    <w:p w:rsidR="00000000" w:rsidRDefault="007629CD">
      <w:pPr>
        <w:pStyle w:val="ConsPlusNormal"/>
      </w:pPr>
      <w:r>
        <w:t>Подписано в печать</w:t>
      </w:r>
    </w:p>
    <w:p w:rsidR="00000000" w:rsidRDefault="007629CD">
      <w:pPr>
        <w:pStyle w:val="ConsPlusNormal"/>
        <w:spacing w:before="240"/>
      </w:pPr>
      <w:r>
        <w:t>23.09.2019</w:t>
      </w:r>
    </w:p>
    <w:p w:rsidR="00000000" w:rsidRDefault="007629CD">
      <w:pPr>
        <w:pStyle w:val="ConsPlusNormal"/>
      </w:pPr>
    </w:p>
    <w:p w:rsidR="00000000" w:rsidRDefault="007629CD">
      <w:pPr>
        <w:pStyle w:val="ConsPlusNormal"/>
      </w:pPr>
    </w:p>
    <w:p w:rsidR="007629CD" w:rsidRDefault="007629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29CD">
      <w:headerReference w:type="default" r:id="rId52"/>
      <w:footerReference w:type="default" r:id="rId5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CD" w:rsidRDefault="007629CD">
      <w:pPr>
        <w:spacing w:after="0" w:line="240" w:lineRule="auto"/>
      </w:pPr>
      <w:r>
        <w:separator/>
      </w:r>
    </w:p>
  </w:endnote>
  <w:endnote w:type="continuationSeparator" w:id="1">
    <w:p w:rsidR="007629CD" w:rsidRDefault="0076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29C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29C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29C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29C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67649">
            <w:rPr>
              <w:sz w:val="20"/>
              <w:szCs w:val="20"/>
            </w:rPr>
            <w:fldChar w:fldCharType="separate"/>
          </w:r>
          <w:r w:rsidR="00067649"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67649">
            <w:rPr>
              <w:sz w:val="20"/>
              <w:szCs w:val="20"/>
            </w:rPr>
            <w:fldChar w:fldCharType="separate"/>
          </w:r>
          <w:r w:rsidR="00067649"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629C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CD" w:rsidRDefault="007629CD">
      <w:pPr>
        <w:spacing w:after="0" w:line="240" w:lineRule="auto"/>
      </w:pPr>
      <w:r>
        <w:separator/>
      </w:r>
    </w:p>
  </w:footnote>
  <w:footnote w:type="continuationSeparator" w:id="1">
    <w:p w:rsidR="007629CD" w:rsidRDefault="0076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29C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Статья: Доступность о</w:t>
          </w:r>
          <w:r>
            <w:rPr>
              <w:sz w:val="16"/>
              <w:szCs w:val="16"/>
            </w:rPr>
            <w:t>бразовательных услуг для инвалидов</w:t>
          </w:r>
          <w:r>
            <w:rPr>
              <w:sz w:val="16"/>
              <w:szCs w:val="16"/>
            </w:rPr>
            <w:br/>
            <w:t>(Артемова И.В.)</w:t>
          </w:r>
          <w:r>
            <w:rPr>
              <w:sz w:val="16"/>
              <w:szCs w:val="16"/>
            </w:rPr>
            <w:br/>
            <w:t>("Советник в сфере образования", 2019, N 9)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29CD">
          <w:pPr>
            <w:pStyle w:val="ConsPlusNormal"/>
            <w:jc w:val="center"/>
          </w:pPr>
        </w:p>
        <w:p w:rsidR="00000000" w:rsidRDefault="007629C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29C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02.03.2020</w:t>
          </w:r>
        </w:p>
      </w:tc>
    </w:tr>
  </w:tbl>
  <w:p w:rsidR="00000000" w:rsidRDefault="007629C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629C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645AA"/>
    <w:rsid w:val="00067649"/>
    <w:rsid w:val="007629CD"/>
    <w:rsid w:val="00D6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22085&amp;date=02.03.2020&amp;dst=100082&amp;fld=134" TargetMode="External"/><Relationship Id="rId18" Type="http://schemas.openxmlformats.org/officeDocument/2006/relationships/hyperlink" Target="https://login.consultant.ru/link/?req=doc&amp;base=RZR&amp;n=204228&amp;date=02.03.2020&amp;dst=100011&amp;fld=134" TargetMode="External"/><Relationship Id="rId26" Type="http://schemas.openxmlformats.org/officeDocument/2006/relationships/hyperlink" Target="https://login.consultant.ru/link/?req=doc&amp;base=RZR&amp;n=329369&amp;date=02.03.2020&amp;dst=252&amp;fld=134" TargetMode="External"/><Relationship Id="rId39" Type="http://schemas.openxmlformats.org/officeDocument/2006/relationships/hyperlink" Target="https://login.consultant.ru/link/?req=doc&amp;base=RZR&amp;n=298347&amp;date=02.03.2020&amp;dst=100011&amp;fld=134" TargetMode="External"/><Relationship Id="rId21" Type="http://schemas.openxmlformats.org/officeDocument/2006/relationships/hyperlink" Target="https://login.consultant.ru/link/?req=doc&amp;base=RZR&amp;n=204228&amp;date=02.03.2020&amp;dst=100014&amp;fld=134" TargetMode="External"/><Relationship Id="rId34" Type="http://schemas.openxmlformats.org/officeDocument/2006/relationships/hyperlink" Target="https://login.consultant.ru/link/?req=doc&amp;base=RZR&amp;n=216119&amp;date=02.03.2020&amp;dst=100165&amp;fld=134" TargetMode="External"/><Relationship Id="rId42" Type="http://schemas.openxmlformats.org/officeDocument/2006/relationships/hyperlink" Target="https://login.consultant.ru/link/?req=doc&amp;base=RZR&amp;n=297398&amp;date=02.03.2020&amp;dst=101263&amp;fld=134" TargetMode="External"/><Relationship Id="rId47" Type="http://schemas.openxmlformats.org/officeDocument/2006/relationships/hyperlink" Target="https://login.consultant.ru/link/?req=doc&amp;base=RZR&amp;n=23355&amp;date=02.03.2020&amp;dst=126783&amp;fld=134" TargetMode="External"/><Relationship Id="rId50" Type="http://schemas.openxmlformats.org/officeDocument/2006/relationships/hyperlink" Target="https://login.consultant.ru/link/?req=doc&amp;base=RZR&amp;n=329954&amp;date=02.03.2020&amp;dst=100813&amp;fld=13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ZR&amp;n=322085&amp;date=02.03.2020&amp;dst=100025&amp;fld=134" TargetMode="External"/><Relationship Id="rId17" Type="http://schemas.openxmlformats.org/officeDocument/2006/relationships/hyperlink" Target="https://login.consultant.ru/link/?req=doc&amp;base=RZR&amp;n=315253&amp;date=02.03.2020&amp;dst=100015&amp;fld=134" TargetMode="External"/><Relationship Id="rId25" Type="http://schemas.openxmlformats.org/officeDocument/2006/relationships/hyperlink" Target="https://login.consultant.ru/link/?req=doc&amp;base=RZR&amp;n=204228&amp;date=02.03.2020&amp;dst=100039&amp;fld=134" TargetMode="External"/><Relationship Id="rId33" Type="http://schemas.openxmlformats.org/officeDocument/2006/relationships/hyperlink" Target="https://login.consultant.ru/link/?req=doc&amp;base=RZR&amp;n=303777&amp;date=02.03.2020" TargetMode="External"/><Relationship Id="rId38" Type="http://schemas.openxmlformats.org/officeDocument/2006/relationships/hyperlink" Target="https://login.consultant.ru/link/?req=doc&amp;base=RZR&amp;n=216119&amp;date=02.03.2020&amp;dst=100011&amp;fld=134" TargetMode="External"/><Relationship Id="rId46" Type="http://schemas.openxmlformats.org/officeDocument/2006/relationships/hyperlink" Target="https://login.consultant.ru/link/?req=doc&amp;base=RZR&amp;n=23355&amp;date=02.03.2020&amp;dst=126780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15253&amp;date=02.03.2020&amp;dst=100015&amp;fld=134" TargetMode="External"/><Relationship Id="rId20" Type="http://schemas.openxmlformats.org/officeDocument/2006/relationships/hyperlink" Target="https://login.consultant.ru/link/?req=doc&amp;base=RZR&amp;n=204228&amp;date=02.03.2020&amp;dst=100011&amp;fld=134" TargetMode="External"/><Relationship Id="rId29" Type="http://schemas.openxmlformats.org/officeDocument/2006/relationships/hyperlink" Target="https://login.consultant.ru/link/?req=doc&amp;base=RZR&amp;n=329954&amp;date=02.03.2020&amp;dst=100823&amp;fld=134" TargetMode="External"/><Relationship Id="rId41" Type="http://schemas.openxmlformats.org/officeDocument/2006/relationships/hyperlink" Target="https://login.consultant.ru/link/?req=doc&amp;base=RZR&amp;n=297398&amp;date=02.03.2020&amp;dst=100015&amp;fld=13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322085&amp;date=02.03.2020&amp;dst=100025&amp;fld=134" TargetMode="External"/><Relationship Id="rId24" Type="http://schemas.openxmlformats.org/officeDocument/2006/relationships/hyperlink" Target="https://login.consultant.ru/link/?req=doc&amp;base=RZR&amp;n=204228&amp;date=02.03.2020&amp;dst=100085&amp;fld=134" TargetMode="External"/><Relationship Id="rId32" Type="http://schemas.openxmlformats.org/officeDocument/2006/relationships/hyperlink" Target="https://login.consultant.ru/link/?req=doc&amp;base=RZR&amp;n=329954&amp;date=02.03.2020&amp;dst=331&amp;fld=134" TargetMode="External"/><Relationship Id="rId37" Type="http://schemas.openxmlformats.org/officeDocument/2006/relationships/hyperlink" Target="https://login.consultant.ru/link/?req=doc&amp;base=RZR&amp;n=216119&amp;date=02.03.2020&amp;dst=100030&amp;fld=134" TargetMode="External"/><Relationship Id="rId40" Type="http://schemas.openxmlformats.org/officeDocument/2006/relationships/hyperlink" Target="https://login.consultant.ru/link/?req=doc&amp;base=RZR&amp;n=216119&amp;date=02.03.2020&amp;dst=100163&amp;fld=134" TargetMode="External"/><Relationship Id="rId45" Type="http://schemas.openxmlformats.org/officeDocument/2006/relationships/hyperlink" Target="https://login.consultant.ru/link/?req=doc&amp;base=RZR&amp;n=216119&amp;date=02.03.2020&amp;dst=100182&amp;fld=134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322085&amp;date=02.03.2020&amp;dst=100082&amp;fld=134" TargetMode="External"/><Relationship Id="rId23" Type="http://schemas.openxmlformats.org/officeDocument/2006/relationships/hyperlink" Target="https://login.consultant.ru/link/?req=doc&amp;base=RZR&amp;n=183496&amp;date=02.03.2020&amp;dst=100038&amp;fld=134" TargetMode="External"/><Relationship Id="rId28" Type="http://schemas.openxmlformats.org/officeDocument/2006/relationships/hyperlink" Target="https://login.consultant.ru/link/?req=doc&amp;base=RZR&amp;n=208550&amp;date=02.03.2020&amp;dst=100099&amp;fld=134" TargetMode="External"/><Relationship Id="rId36" Type="http://schemas.openxmlformats.org/officeDocument/2006/relationships/hyperlink" Target="https://login.consultant.ru/link/?req=doc&amp;base=QSBO&amp;n=18929&amp;date=02.03.2020" TargetMode="External"/><Relationship Id="rId49" Type="http://schemas.openxmlformats.org/officeDocument/2006/relationships/hyperlink" Target="https://login.consultant.ru/link/?req=doc&amp;base=RZR&amp;n=23355&amp;date=02.03.2020" TargetMode="External"/><Relationship Id="rId10" Type="http://schemas.openxmlformats.org/officeDocument/2006/relationships/hyperlink" Target="https://login.consultant.ru/link/?req=doc&amp;base=RZR&amp;n=322085&amp;date=02.03.2020&amp;dst=100025&amp;fld=134" TargetMode="External"/><Relationship Id="rId19" Type="http://schemas.openxmlformats.org/officeDocument/2006/relationships/hyperlink" Target="https://login.consultant.ru/link/?req=doc&amp;base=RZR&amp;n=204228&amp;date=02.03.2020&amp;dst=100011&amp;fld=134" TargetMode="External"/><Relationship Id="rId31" Type="http://schemas.openxmlformats.org/officeDocument/2006/relationships/hyperlink" Target="https://login.consultant.ru/link/?req=doc&amp;base=RZR&amp;n=329954&amp;date=02.03.2020&amp;dst=100823&amp;fld=134" TargetMode="External"/><Relationship Id="rId44" Type="http://schemas.openxmlformats.org/officeDocument/2006/relationships/hyperlink" Target="https://login.consultant.ru/link/?req=doc&amp;base=RZR&amp;n=297398&amp;date=02.03.2020&amp;dst=726&amp;fld=134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22085&amp;date=02.03.2020&amp;dst=100025&amp;fld=134" TargetMode="External"/><Relationship Id="rId14" Type="http://schemas.openxmlformats.org/officeDocument/2006/relationships/hyperlink" Target="https://login.consultant.ru/link/?req=doc&amp;base=RZR&amp;n=322085&amp;date=02.03.2020&amp;dst=100082&amp;fld=134" TargetMode="External"/><Relationship Id="rId22" Type="http://schemas.openxmlformats.org/officeDocument/2006/relationships/hyperlink" Target="https://login.consultant.ru/link/?req=doc&amp;base=RZR&amp;n=183496&amp;date=02.03.2020&amp;dst=100015&amp;fld=134" TargetMode="External"/><Relationship Id="rId27" Type="http://schemas.openxmlformats.org/officeDocument/2006/relationships/hyperlink" Target="https://login.consultant.ru/link/?req=doc&amp;base=RZR&amp;n=208550&amp;date=02.03.2020&amp;dst=100099&amp;fld=134" TargetMode="External"/><Relationship Id="rId30" Type="http://schemas.openxmlformats.org/officeDocument/2006/relationships/hyperlink" Target="https://login.consultant.ru/link/?req=doc&amp;base=RZR&amp;n=329954&amp;date=02.03.2020&amp;dst=338&amp;fld=134" TargetMode="External"/><Relationship Id="rId35" Type="http://schemas.openxmlformats.org/officeDocument/2006/relationships/hyperlink" Target="https://login.consultant.ru/link/?req=doc&amp;base=RZR&amp;n=216119&amp;date=02.03.2020&amp;dst=100011&amp;fld=134" TargetMode="External"/><Relationship Id="rId43" Type="http://schemas.openxmlformats.org/officeDocument/2006/relationships/hyperlink" Target="https://login.consultant.ru/link/?req=doc&amp;base=RZR&amp;n=303777&amp;date=02.03.2020&amp;dst=100997&amp;fld=134" TargetMode="External"/><Relationship Id="rId48" Type="http://schemas.openxmlformats.org/officeDocument/2006/relationships/hyperlink" Target="https://login.consultant.ru/link/?req=doc&amp;base=RZR&amp;n=297398&amp;date=02.03.2020&amp;dst=378&amp;fld=134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ZR&amp;n=330068&amp;date=02.03.2020&amp;dst=103574&amp;f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4682</Words>
  <Characters>26693</Characters>
  <Application>Microsoft Office Word</Application>
  <DocSecurity>2</DocSecurity>
  <Lines>222</Lines>
  <Paragraphs>62</Paragraphs>
  <ScaleCrop>false</ScaleCrop>
  <Company>КонсультантПлюс Версия 4018.00.50</Company>
  <LinksUpToDate>false</LinksUpToDate>
  <CharactersWithSpaces>31313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Статья: Доступность образовательных услуг для инвалидов(Артемова И.В.)("Советник в сфере образования", 2019, N 9)</dc:title>
  <dc:creator>МАДОУ детский сад №1</dc:creator>
  <cp:lastModifiedBy>МАДОУ детский сад №1</cp:lastModifiedBy>
  <cp:revision>2</cp:revision>
  <dcterms:created xsi:type="dcterms:W3CDTF">2020-03-02T03:02:00Z</dcterms:created>
  <dcterms:modified xsi:type="dcterms:W3CDTF">2020-03-02T03:02:00Z</dcterms:modified>
</cp:coreProperties>
</file>